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2C5450BF" w14:textId="39AA760B" w:rsidR="006847D3" w:rsidRDefault="002665DC" w:rsidP="006847D3">
      <w:pPr>
        <w:jc w:val="center"/>
        <w:rPr>
          <w:rFonts w:ascii="Calibri" w:hAnsi="Calibri" w:cs="Calibri"/>
          <w:b/>
          <w:sz w:val="24"/>
          <w:szCs w:val="24"/>
        </w:rPr>
      </w:pPr>
      <w:r w:rsidRPr="002665DC">
        <w:rPr>
          <w:rFonts w:ascii="Calibri" w:hAnsi="Calibri" w:cs="Calibri"/>
          <w:b/>
          <w:sz w:val="24"/>
          <w:szCs w:val="24"/>
        </w:rPr>
        <w:t>KULTURA</w:t>
      </w:r>
    </w:p>
    <w:p w14:paraId="75DCE31B" w14:textId="70109794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845D03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3029C4">
        <w:rPr>
          <w:rFonts w:ascii="Calibri" w:hAnsi="Calibri" w:cs="Calibri"/>
          <w:b/>
          <w:sz w:val="24"/>
          <w:szCs w:val="24"/>
        </w:rPr>
        <w:t>4</w:t>
      </w:r>
    </w:p>
    <w:p w14:paraId="41E63967" w14:textId="77777777" w:rsidR="006847D3" w:rsidRPr="002665DC" w:rsidRDefault="006847D3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06969F81" w:rsidR="00FB2E55" w:rsidRDefault="001B5FE1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KULTURA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77777777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 kulturní akce v městské části Brno-Černovice. Podpořit v této oblasti neprofesionální kulturní aktivity.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67DF08FA" w14:textId="288CEE20" w:rsidR="00166C42" w:rsidRPr="002665DC" w:rsidRDefault="00166C42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Účelem poskytování finančních prostředků je zajistit podíl městské části na spolufinancování kulturních akcí se zaměřením na divadelní tvořivost, výtvarnou činnost, fotografickou a filmovou tvorbu, taneční umění, koncertní činnost</w:t>
      </w:r>
      <w:r w:rsidR="0000299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další estetické aktivity.</w:t>
      </w:r>
      <w:r w:rsidR="00002993">
        <w:rPr>
          <w:rFonts w:ascii="Calibri" w:hAnsi="Calibri" w:cs="Calibri"/>
          <w:sz w:val="24"/>
          <w:szCs w:val="24"/>
        </w:rPr>
        <w:t xml:space="preserve"> Finanční podpora je určena především na akce místního významu. Dotace jsou poskytovány na akce nekomerční, tzn. takové, z nichž po vyúčtování neplyne přímý zisk pro </w:t>
      </w:r>
      <w:r w:rsidR="00BD6306">
        <w:rPr>
          <w:rFonts w:ascii="Calibri" w:hAnsi="Calibri" w:cs="Calibri"/>
          <w:sz w:val="24"/>
          <w:szCs w:val="24"/>
        </w:rPr>
        <w:t>žadatele</w:t>
      </w:r>
      <w:r w:rsidR="00002993">
        <w:rPr>
          <w:rFonts w:ascii="Calibri" w:hAnsi="Calibri" w:cs="Calibri"/>
          <w:sz w:val="24"/>
          <w:szCs w:val="24"/>
        </w:rPr>
        <w:t>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1C20CDD9" w:rsidR="00C53D42" w:rsidRDefault="00674043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100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 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38329E47" w14:textId="6C62C482" w:rsidR="00002993" w:rsidRPr="002665DC" w:rsidRDefault="00002993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="00EF040B"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 w:rsidR="00EF040B">
        <w:rPr>
          <w:rFonts w:ascii="Calibri" w:hAnsi="Calibri" w:cs="Calibri"/>
          <w:sz w:val="24"/>
          <w:szCs w:val="24"/>
        </w:rPr>
        <w:t>0</w:t>
      </w:r>
      <w:r w:rsidR="003029C4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EF040B">
        <w:rPr>
          <w:rFonts w:ascii="Calibri" w:hAnsi="Calibri" w:cs="Calibri"/>
          <w:sz w:val="24"/>
          <w:szCs w:val="24"/>
        </w:rPr>
        <w:t>9</w:t>
      </w:r>
      <w:r w:rsidRPr="002665DC">
        <w:rPr>
          <w:rFonts w:ascii="Calibri" w:hAnsi="Calibri" w:cs="Calibri"/>
          <w:sz w:val="24"/>
          <w:szCs w:val="24"/>
        </w:rPr>
        <w:t>.202</w:t>
      </w:r>
      <w:r w:rsidR="003029C4">
        <w:rPr>
          <w:rFonts w:ascii="Calibri" w:hAnsi="Calibri" w:cs="Calibri"/>
          <w:sz w:val="24"/>
          <w:szCs w:val="24"/>
        </w:rPr>
        <w:t>3</w:t>
      </w:r>
    </w:p>
    <w:p w14:paraId="08EECCA2" w14:textId="453775ED" w:rsidR="00002993" w:rsidRPr="002665DC" w:rsidRDefault="00002993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="003029C4"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</w:t>
      </w:r>
      <w:r w:rsidR="00EF040B"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 w:rsidR="003029C4">
        <w:rPr>
          <w:rFonts w:ascii="Calibri" w:hAnsi="Calibri" w:cs="Calibri"/>
          <w:sz w:val="24"/>
          <w:szCs w:val="24"/>
        </w:rPr>
        <w:t>3</w:t>
      </w:r>
    </w:p>
    <w:p w14:paraId="4C2D173A" w14:textId="2E5854ED" w:rsidR="00002993" w:rsidRDefault="00002993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F040B">
        <w:rPr>
          <w:rFonts w:ascii="Calibri" w:hAnsi="Calibri" w:cs="Calibri"/>
          <w:sz w:val="24"/>
          <w:szCs w:val="24"/>
        </w:rPr>
        <w:t>1</w:t>
      </w:r>
      <w:r w:rsidR="003029C4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</w:t>
      </w:r>
      <w:r w:rsidR="00EF040B">
        <w:rPr>
          <w:rFonts w:ascii="Calibri" w:hAnsi="Calibri" w:cs="Calibri"/>
          <w:sz w:val="24"/>
          <w:szCs w:val="24"/>
        </w:rPr>
        <w:t>1</w:t>
      </w:r>
      <w:r w:rsidRPr="002665DC">
        <w:rPr>
          <w:rFonts w:ascii="Calibri" w:hAnsi="Calibri" w:cs="Calibri"/>
          <w:sz w:val="24"/>
          <w:szCs w:val="24"/>
        </w:rPr>
        <w:t>.202</w:t>
      </w:r>
      <w:r w:rsidR="003029C4">
        <w:rPr>
          <w:rFonts w:ascii="Calibri" w:hAnsi="Calibri" w:cs="Calibri"/>
          <w:sz w:val="24"/>
          <w:szCs w:val="24"/>
        </w:rPr>
        <w:t>3</w:t>
      </w:r>
    </w:p>
    <w:p w14:paraId="1E6CB11D" w14:textId="61C81C09" w:rsidR="00677403" w:rsidRPr="002665DC" w:rsidRDefault="004551C7" w:rsidP="00002993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</w:t>
      </w:r>
      <w:r w:rsidR="00677403">
        <w:rPr>
          <w:rFonts w:ascii="Calibri" w:hAnsi="Calibri" w:cs="Calibri"/>
          <w:sz w:val="24"/>
          <w:szCs w:val="24"/>
        </w:rPr>
        <w:t>ozhodnutí o žádosti</w:t>
      </w:r>
      <w:r w:rsidR="0067740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nejpozději do</w:t>
      </w:r>
      <w:r>
        <w:rPr>
          <w:rFonts w:ascii="Calibri" w:hAnsi="Calibri" w:cs="Calibri"/>
          <w:sz w:val="24"/>
          <w:szCs w:val="24"/>
        </w:rPr>
        <w:tab/>
      </w:r>
      <w:r w:rsidR="00677403">
        <w:rPr>
          <w:rFonts w:ascii="Calibri" w:hAnsi="Calibri" w:cs="Calibri"/>
          <w:sz w:val="24"/>
          <w:szCs w:val="24"/>
        </w:rPr>
        <w:tab/>
      </w:r>
      <w:r w:rsidR="00677403">
        <w:rPr>
          <w:rFonts w:ascii="Calibri" w:hAnsi="Calibri" w:cs="Calibri"/>
          <w:sz w:val="24"/>
          <w:szCs w:val="24"/>
        </w:rPr>
        <w:tab/>
      </w:r>
      <w:r w:rsidR="00677403">
        <w:rPr>
          <w:rFonts w:ascii="Calibri" w:hAnsi="Calibri" w:cs="Calibri"/>
          <w:sz w:val="24"/>
          <w:szCs w:val="24"/>
        </w:rPr>
        <w:tab/>
      </w:r>
      <w:r w:rsidR="007407C5">
        <w:rPr>
          <w:rFonts w:ascii="Calibri" w:hAnsi="Calibri" w:cs="Calibri"/>
          <w:sz w:val="24"/>
          <w:szCs w:val="24"/>
        </w:rPr>
        <w:t>31</w:t>
      </w:r>
      <w:r w:rsidR="00677403">
        <w:rPr>
          <w:rFonts w:ascii="Calibri" w:hAnsi="Calibri" w:cs="Calibri"/>
          <w:sz w:val="24"/>
          <w:szCs w:val="24"/>
        </w:rPr>
        <w:t>.0</w:t>
      </w:r>
      <w:r w:rsidR="007407C5">
        <w:rPr>
          <w:rFonts w:ascii="Calibri" w:hAnsi="Calibri" w:cs="Calibri"/>
          <w:sz w:val="24"/>
          <w:szCs w:val="24"/>
        </w:rPr>
        <w:t>3</w:t>
      </w:r>
      <w:r w:rsidR="00677403">
        <w:rPr>
          <w:rFonts w:ascii="Calibri" w:hAnsi="Calibri" w:cs="Calibri"/>
          <w:sz w:val="24"/>
          <w:szCs w:val="24"/>
        </w:rPr>
        <w:t>.202</w:t>
      </w:r>
      <w:r w:rsidR="003029C4">
        <w:rPr>
          <w:rFonts w:ascii="Calibri" w:hAnsi="Calibri" w:cs="Calibri"/>
          <w:sz w:val="24"/>
          <w:szCs w:val="24"/>
        </w:rPr>
        <w:t>4</w:t>
      </w:r>
    </w:p>
    <w:bookmarkEnd w:id="1"/>
    <w:p w14:paraId="78E0E4A2" w14:textId="45AF5F9C" w:rsidR="00002993" w:rsidRPr="002665DC" w:rsidRDefault="00002993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 w:rsidR="00B16E86"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 w:rsidR="003029C4">
        <w:rPr>
          <w:rFonts w:ascii="Calibri" w:hAnsi="Calibri" w:cs="Calibri"/>
          <w:sz w:val="24"/>
          <w:szCs w:val="24"/>
        </w:rPr>
        <w:t>5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766A0E6B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7B2454D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nákup materiálu, kancelářských potřeb, drogerie apod.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6160F070" w14:textId="3BD86F89" w:rsidR="0065683E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knihy, časopisy, odborné texty, učebnice,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5EB99BC7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7AA1B327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7D3C5DDF" w14:textId="53B84968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B01D4">
        <w:rPr>
          <w:rFonts w:ascii="Calibri" w:hAnsi="Calibri" w:cs="Calibri"/>
          <w:sz w:val="24"/>
          <w:szCs w:val="24"/>
        </w:rPr>
        <w:t>.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27358305" w14:textId="6774E46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bookmarkStart w:id="2" w:name="_Hlk85451834"/>
      <w:r>
        <w:rPr>
          <w:rFonts w:ascii="Calibri" w:hAnsi="Calibri" w:cs="Calibri"/>
          <w:sz w:val="24"/>
          <w:szCs w:val="24"/>
        </w:rPr>
        <w:t>náklady na ú</w:t>
      </w:r>
      <w:r w:rsidR="001B5FE1"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="001B5FE1"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 w:rsidR="00EF7556">
        <w:rPr>
          <w:rFonts w:ascii="Calibri" w:hAnsi="Calibri" w:cs="Calibri"/>
          <w:sz w:val="24"/>
          <w:szCs w:val="24"/>
        </w:rPr>
        <w:t xml:space="preserve">zaměstnanců žadatele </w:t>
      </w:r>
      <w:r w:rsidR="001B5FE1"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bookmarkEnd w:id="2"/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lastRenderedPageBreak/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0DC5496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3A1DC5F7" w14:textId="14316565" w:rsidR="009C2016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přiměřený rozpočet projektu s ohledem na členskou základnu žadatele, počet účastníků či rozsah činnosti,</w:t>
      </w:r>
    </w:p>
    <w:p w14:paraId="460B8AD7" w14:textId="014A8565" w:rsidR="00A1017C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32596516" w14:textId="0E41FA70" w:rsidR="00A1017C" w:rsidRPr="009C2016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potřebnost a význam projektu z hlediska cílových skupin – děti, mládež, senioři nebo sociálně znevýhodněné skupiny.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5C264810" w14:textId="2D4C94C3" w:rsidR="00C61EAE" w:rsidRPr="002665DC" w:rsidRDefault="00803961" w:rsidP="00787700">
      <w:pPr>
        <w:rPr>
          <w:rFonts w:ascii="Calibri" w:hAnsi="Calibri" w:cs="Calibri"/>
          <w:sz w:val="24"/>
          <w:szCs w:val="24"/>
        </w:rPr>
      </w:pPr>
      <w:bookmarkStart w:id="3" w:name="_Hlk85619101"/>
      <w:r w:rsidRPr="002665DC">
        <w:rPr>
          <w:rFonts w:ascii="Calibri" w:hAnsi="Calibri" w:cs="Calibri"/>
          <w:sz w:val="24"/>
          <w:szCs w:val="24"/>
        </w:rPr>
        <w:t xml:space="preserve">Minimální </w:t>
      </w:r>
      <w:r w:rsidR="00674043"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</w:t>
      </w:r>
      <w:r w:rsidR="00097D20">
        <w:rPr>
          <w:rFonts w:ascii="Calibri" w:hAnsi="Calibri" w:cs="Calibri"/>
          <w:sz w:val="24"/>
          <w:szCs w:val="24"/>
        </w:rPr>
        <w:t xml:space="preserve">Maximální výše dotace v jednotlivém případě činí …..    </w:t>
      </w:r>
      <w:r w:rsidR="00A21778" w:rsidRPr="002665DC">
        <w:rPr>
          <w:rFonts w:ascii="Calibri" w:hAnsi="Calibri" w:cs="Calibri"/>
          <w:sz w:val="24"/>
          <w:szCs w:val="24"/>
        </w:rPr>
        <w:t>S</w:t>
      </w:r>
      <w:r w:rsidR="00614DDC" w:rsidRPr="002665DC">
        <w:rPr>
          <w:rFonts w:ascii="Calibri" w:hAnsi="Calibri" w:cs="Calibri"/>
          <w:sz w:val="24"/>
          <w:szCs w:val="24"/>
        </w:rPr>
        <w:t>polufinancování</w:t>
      </w:r>
      <w:r w:rsidR="00A21778" w:rsidRPr="002665DC">
        <w:rPr>
          <w:rFonts w:ascii="Calibri" w:hAnsi="Calibri" w:cs="Calibri"/>
          <w:sz w:val="24"/>
          <w:szCs w:val="24"/>
        </w:rPr>
        <w:t xml:space="preserve"> </w:t>
      </w:r>
      <w:r w:rsidR="00C61EAE" w:rsidRPr="002665DC">
        <w:rPr>
          <w:rFonts w:ascii="Calibri" w:hAnsi="Calibri" w:cs="Calibri"/>
          <w:sz w:val="24"/>
          <w:szCs w:val="24"/>
        </w:rPr>
        <w:t>je</w:t>
      </w:r>
      <w:r w:rsidR="00A21778" w:rsidRPr="002665DC">
        <w:rPr>
          <w:rFonts w:ascii="Calibri" w:hAnsi="Calibri" w:cs="Calibri"/>
          <w:sz w:val="24"/>
          <w:szCs w:val="24"/>
        </w:rPr>
        <w:t xml:space="preserve"> nepovinné</w:t>
      </w:r>
      <w:r>
        <w:rPr>
          <w:rFonts w:ascii="Calibri" w:hAnsi="Calibri" w:cs="Calibri"/>
          <w:sz w:val="24"/>
          <w:szCs w:val="24"/>
        </w:rPr>
        <w:t>.</w:t>
      </w:r>
    </w:p>
    <w:bookmarkEnd w:id="3"/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5FEA69FD" w14:textId="686641B0" w:rsidR="00817580" w:rsidRDefault="00817580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4" w:name="_Hlk85451862"/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59763986" w14:textId="6717D8FD" w:rsidR="00817580" w:rsidRPr="00817580" w:rsidRDefault="002617E6" w:rsidP="00817580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bookmarkStart w:id="5" w:name="_Hlk85619002"/>
      <w:r>
        <w:rPr>
          <w:rFonts w:ascii="Calibri" w:hAnsi="Calibri" w:cs="Calibri"/>
          <w:b/>
          <w:bCs/>
          <w:sz w:val="24"/>
          <w:szCs w:val="24"/>
        </w:rPr>
        <w:t>doklad prokazující existence žadatele</w:t>
      </w:r>
      <w:r w:rsidR="00621C63">
        <w:rPr>
          <w:rFonts w:ascii="Calibri" w:hAnsi="Calibri" w:cs="Calibri"/>
          <w:b/>
          <w:bCs/>
          <w:sz w:val="24"/>
          <w:szCs w:val="24"/>
        </w:rPr>
        <w:t>,</w:t>
      </w:r>
    </w:p>
    <w:p w14:paraId="1F7F0C3C" w14:textId="18EC5826" w:rsidR="00817580" w:rsidRPr="002617E6" w:rsidRDefault="002617E6" w:rsidP="00817580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 w:rsidR="00621C63">
        <w:rPr>
          <w:rFonts w:ascii="Calibri" w:hAnsi="Calibri" w:cs="Calibri"/>
          <w:b/>
          <w:bCs/>
          <w:sz w:val="24"/>
          <w:szCs w:val="24"/>
        </w:rPr>
        <w:t>,</w:t>
      </w:r>
    </w:p>
    <w:p w14:paraId="78B4F45D" w14:textId="2FB916D2" w:rsidR="002617E6" w:rsidRPr="002617E6" w:rsidRDefault="002617E6" w:rsidP="00817580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>je-li žadatel právnickou osobou doloží přílohu obsahující informace dle ust. § 10a odst. 3 písm. f) zákona č. 250/2000 Sb.</w:t>
      </w:r>
    </w:p>
    <w:bookmarkEnd w:id="4"/>
    <w:bookmarkEnd w:id="5"/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2471E7F0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Žádosti se přijímají osobně prostřednictvím podatelny ÚMČ Brno-Černovice, Bolzanova 1, Brno, prostřednictvím datové schránky </w:t>
      </w:r>
      <w:r w:rsidR="00A3643C">
        <w:rPr>
          <w:rFonts w:ascii="Calibri" w:hAnsi="Calibri" w:cs="Calibri"/>
          <w:b/>
          <w:bCs/>
          <w:sz w:val="24"/>
          <w:szCs w:val="24"/>
        </w:rPr>
        <w:t xml:space="preserve">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2A7E6A6E" w14:textId="36D0F7FF" w:rsidR="00674043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věcí.</w:t>
      </w: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t>Posouzení žádosti</w:t>
      </w:r>
    </w:p>
    <w:p w14:paraId="13E3794D" w14:textId="1F3DB13B" w:rsidR="008B7903" w:rsidRDefault="00B5303B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bookmarkStart w:id="6" w:name="_Hlk85451737"/>
      <w:r>
        <w:rPr>
          <w:rFonts w:ascii="Calibri" w:hAnsi="Calibri" w:cs="Calibri"/>
          <w:sz w:val="24"/>
          <w:szCs w:val="24"/>
        </w:rPr>
        <w:t>Přijaté žádosti se hodnotí příslušnou komisí Rady městské části Brno-Černovice. Komise následně žádosti a výši</w:t>
      </w:r>
      <w:r w:rsidR="00A3643C">
        <w:rPr>
          <w:rFonts w:ascii="Calibri" w:hAnsi="Calibri" w:cs="Calibri"/>
          <w:sz w:val="24"/>
          <w:szCs w:val="24"/>
        </w:rPr>
        <w:t xml:space="preserve"> dotace</w:t>
      </w:r>
      <w:r>
        <w:rPr>
          <w:rFonts w:ascii="Calibri" w:hAnsi="Calibri" w:cs="Calibri"/>
          <w:sz w:val="24"/>
          <w:szCs w:val="24"/>
        </w:rPr>
        <w:t xml:space="preserve"> doporučí, popř. nedoporučí </w:t>
      </w:r>
      <w:r w:rsidR="00A3643C">
        <w:rPr>
          <w:rFonts w:ascii="Calibri" w:hAnsi="Calibri" w:cs="Calibri"/>
          <w:sz w:val="24"/>
          <w:szCs w:val="24"/>
        </w:rPr>
        <w:t xml:space="preserve">schválit </w:t>
      </w:r>
      <w:r>
        <w:rPr>
          <w:rFonts w:ascii="Calibri" w:hAnsi="Calibri" w:cs="Calibri"/>
          <w:sz w:val="24"/>
          <w:szCs w:val="24"/>
        </w:rPr>
        <w:t>Radě městské části Brno-Černovice. Rada rozhodne o schválení, popř. neschválení žádosti. S výsledkem tohoto procesu budou žadatelé seznámeni odborem finančním a vnitřních věcí.</w:t>
      </w:r>
    </w:p>
    <w:bookmarkEnd w:id="6"/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 hodnocení vyřazena </w:t>
      </w:r>
      <w:r w:rsidR="000504D5">
        <w:rPr>
          <w:rFonts w:ascii="Calibri" w:hAnsi="Calibri" w:cs="Calibri"/>
          <w:b/>
          <w:bCs/>
          <w:sz w:val="24"/>
          <w:szCs w:val="24"/>
        </w:rPr>
        <w:lastRenderedPageBreak/>
        <w:t>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0A1F4DE1" w14:textId="79B7FEB6" w:rsidR="001955A4" w:rsidRDefault="001955A4" w:rsidP="000504D5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7" w:name="_Hlk85451756"/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 xml:space="preserve">prokazujících použití dotace, </w:t>
      </w:r>
      <w:r w:rsidR="00A3643C">
        <w:rPr>
          <w:rFonts w:ascii="Calibri" w:hAnsi="Calibri" w:cs="Calibri"/>
          <w:sz w:val="24"/>
          <w:szCs w:val="24"/>
        </w:rPr>
        <w:t>jejichž originály</w:t>
      </w:r>
      <w:r>
        <w:rPr>
          <w:rFonts w:ascii="Calibri" w:hAnsi="Calibri" w:cs="Calibri"/>
          <w:sz w:val="24"/>
          <w:szCs w:val="24"/>
        </w:rPr>
        <w:t xml:space="preserve">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bookmarkEnd w:id="7"/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5CAB1DF4" w14:textId="6BCCD9C0" w:rsidR="001955A4" w:rsidRP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Dotační program o poskytnutí dotace z rozpočtu městské části Brno-Černovice byl schválen dne </w:t>
      </w:r>
      <w:r w:rsidR="00D51343">
        <w:rPr>
          <w:rFonts w:ascii="Calibri" w:hAnsi="Calibri" w:cs="Calibri"/>
          <w:sz w:val="24"/>
          <w:szCs w:val="24"/>
        </w:rPr>
        <w:t>0</w:t>
      </w:r>
      <w:r w:rsidR="003029C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 w:rsidR="00D51343">
        <w:rPr>
          <w:rFonts w:ascii="Calibri" w:hAnsi="Calibri" w:cs="Calibri"/>
          <w:sz w:val="24"/>
          <w:szCs w:val="24"/>
        </w:rPr>
        <w:t>09</w:t>
      </w:r>
      <w:r>
        <w:rPr>
          <w:rFonts w:ascii="Calibri" w:hAnsi="Calibri" w:cs="Calibri"/>
          <w:sz w:val="24"/>
          <w:szCs w:val="24"/>
        </w:rPr>
        <w:t>.202</w:t>
      </w:r>
      <w:r w:rsidR="003029C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na </w:t>
      </w:r>
      <w:r w:rsidR="003029C4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 schůzi Rady městské části Brno-Černovice.</w:t>
      </w: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5606" w14:textId="77777777" w:rsidR="006D5F38" w:rsidRDefault="006D5F38" w:rsidP="00BD6306">
      <w:pPr>
        <w:spacing w:after="0" w:line="240" w:lineRule="auto"/>
      </w:pPr>
      <w:r>
        <w:separator/>
      </w:r>
    </w:p>
  </w:endnote>
  <w:endnote w:type="continuationSeparator" w:id="0">
    <w:p w14:paraId="355530C4" w14:textId="77777777" w:rsidR="006D5F38" w:rsidRDefault="006D5F38" w:rsidP="00BD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523487"/>
      <w:docPartObj>
        <w:docPartGallery w:val="Page Numbers (Bottom of Page)"/>
        <w:docPartUnique/>
      </w:docPartObj>
    </w:sdtPr>
    <w:sdtContent>
      <w:p w14:paraId="2A65AC08" w14:textId="2E04F0CD" w:rsidR="00BD6306" w:rsidRDefault="00BD63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A8FD7" w14:textId="77777777" w:rsidR="00BD6306" w:rsidRDefault="00BD6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C0D6" w14:textId="77777777" w:rsidR="006D5F38" w:rsidRDefault="006D5F38" w:rsidP="00BD6306">
      <w:pPr>
        <w:spacing w:after="0" w:line="240" w:lineRule="auto"/>
      </w:pPr>
      <w:r>
        <w:separator/>
      </w:r>
    </w:p>
  </w:footnote>
  <w:footnote w:type="continuationSeparator" w:id="0">
    <w:p w14:paraId="2446881C" w14:textId="77777777" w:rsidR="006D5F38" w:rsidRDefault="006D5F38" w:rsidP="00BD6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17023">
    <w:abstractNumId w:val="28"/>
  </w:num>
  <w:num w:numId="2" w16cid:durableId="1644702231">
    <w:abstractNumId w:val="35"/>
  </w:num>
  <w:num w:numId="3" w16cid:durableId="1909337824">
    <w:abstractNumId w:val="45"/>
  </w:num>
  <w:num w:numId="4" w16cid:durableId="490828377">
    <w:abstractNumId w:val="42"/>
  </w:num>
  <w:num w:numId="5" w16cid:durableId="1737194886">
    <w:abstractNumId w:val="22"/>
  </w:num>
  <w:num w:numId="6" w16cid:durableId="474600">
    <w:abstractNumId w:val="32"/>
  </w:num>
  <w:num w:numId="7" w16cid:durableId="2100834398">
    <w:abstractNumId w:val="20"/>
  </w:num>
  <w:num w:numId="8" w16cid:durableId="756946985">
    <w:abstractNumId w:val="8"/>
  </w:num>
  <w:num w:numId="9" w16cid:durableId="1294673207">
    <w:abstractNumId w:val="38"/>
  </w:num>
  <w:num w:numId="10" w16cid:durableId="1657605021">
    <w:abstractNumId w:val="41"/>
  </w:num>
  <w:num w:numId="11" w16cid:durableId="1270772647">
    <w:abstractNumId w:val="3"/>
  </w:num>
  <w:num w:numId="12" w16cid:durableId="451675635">
    <w:abstractNumId w:val="10"/>
  </w:num>
  <w:num w:numId="13" w16cid:durableId="721637913">
    <w:abstractNumId w:val="7"/>
  </w:num>
  <w:num w:numId="14" w16cid:durableId="752624165">
    <w:abstractNumId w:val="37"/>
  </w:num>
  <w:num w:numId="15" w16cid:durableId="1078601357">
    <w:abstractNumId w:val="44"/>
  </w:num>
  <w:num w:numId="16" w16cid:durableId="309755641">
    <w:abstractNumId w:val="15"/>
  </w:num>
  <w:num w:numId="17" w16cid:durableId="1813476639">
    <w:abstractNumId w:val="4"/>
  </w:num>
  <w:num w:numId="18" w16cid:durableId="1712803223">
    <w:abstractNumId w:val="25"/>
  </w:num>
  <w:num w:numId="19" w16cid:durableId="1175461685">
    <w:abstractNumId w:val="9"/>
  </w:num>
  <w:num w:numId="20" w16cid:durableId="1015964301">
    <w:abstractNumId w:val="27"/>
  </w:num>
  <w:num w:numId="21" w16cid:durableId="1480417459">
    <w:abstractNumId w:val="36"/>
  </w:num>
  <w:num w:numId="22" w16cid:durableId="87848265">
    <w:abstractNumId w:val="18"/>
  </w:num>
  <w:num w:numId="23" w16cid:durableId="2028561267">
    <w:abstractNumId w:val="16"/>
  </w:num>
  <w:num w:numId="24" w16cid:durableId="565379330">
    <w:abstractNumId w:val="29"/>
  </w:num>
  <w:num w:numId="25" w16cid:durableId="470362351">
    <w:abstractNumId w:val="30"/>
  </w:num>
  <w:num w:numId="26" w16cid:durableId="2058313596">
    <w:abstractNumId w:val="33"/>
  </w:num>
  <w:num w:numId="27" w16cid:durableId="1602571397">
    <w:abstractNumId w:val="43"/>
  </w:num>
  <w:num w:numId="28" w16cid:durableId="1617757516">
    <w:abstractNumId w:val="39"/>
  </w:num>
  <w:num w:numId="29" w16cid:durableId="1261571219">
    <w:abstractNumId w:val="12"/>
  </w:num>
  <w:num w:numId="30" w16cid:durableId="1534804927">
    <w:abstractNumId w:val="1"/>
  </w:num>
  <w:num w:numId="31" w16cid:durableId="115947447">
    <w:abstractNumId w:val="19"/>
  </w:num>
  <w:num w:numId="32" w16cid:durableId="1091466885">
    <w:abstractNumId w:val="5"/>
  </w:num>
  <w:num w:numId="33" w16cid:durableId="1184710637">
    <w:abstractNumId w:val="40"/>
  </w:num>
  <w:num w:numId="34" w16cid:durableId="1216115125">
    <w:abstractNumId w:val="11"/>
  </w:num>
  <w:num w:numId="35" w16cid:durableId="2140027955">
    <w:abstractNumId w:val="31"/>
  </w:num>
  <w:num w:numId="36" w16cid:durableId="1591347867">
    <w:abstractNumId w:val="21"/>
  </w:num>
  <w:num w:numId="37" w16cid:durableId="889074463">
    <w:abstractNumId w:val="14"/>
  </w:num>
  <w:num w:numId="38" w16cid:durableId="1561817729">
    <w:abstractNumId w:val="0"/>
  </w:num>
  <w:num w:numId="39" w16cid:durableId="2015837037">
    <w:abstractNumId w:val="24"/>
  </w:num>
  <w:num w:numId="40" w16cid:durableId="717971821">
    <w:abstractNumId w:val="13"/>
  </w:num>
  <w:num w:numId="41" w16cid:durableId="669408359">
    <w:abstractNumId w:val="14"/>
  </w:num>
  <w:num w:numId="42" w16cid:durableId="663514032">
    <w:abstractNumId w:val="14"/>
  </w:num>
  <w:num w:numId="43" w16cid:durableId="1752237248">
    <w:abstractNumId w:val="6"/>
  </w:num>
  <w:num w:numId="44" w16cid:durableId="308751088">
    <w:abstractNumId w:val="23"/>
  </w:num>
  <w:num w:numId="45" w16cid:durableId="1800296985">
    <w:abstractNumId w:val="26"/>
  </w:num>
  <w:num w:numId="46" w16cid:durableId="1966110951">
    <w:abstractNumId w:val="34"/>
  </w:num>
  <w:num w:numId="47" w16cid:durableId="60954281">
    <w:abstractNumId w:val="17"/>
  </w:num>
  <w:num w:numId="48" w16cid:durableId="793671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24E72"/>
    <w:rsid w:val="000504D5"/>
    <w:rsid w:val="000738CE"/>
    <w:rsid w:val="0008290A"/>
    <w:rsid w:val="00097D20"/>
    <w:rsid w:val="000A1660"/>
    <w:rsid w:val="000E20EE"/>
    <w:rsid w:val="00145B52"/>
    <w:rsid w:val="0015233A"/>
    <w:rsid w:val="00166C42"/>
    <w:rsid w:val="00193ADE"/>
    <w:rsid w:val="001955A4"/>
    <w:rsid w:val="001B5FE1"/>
    <w:rsid w:val="00241584"/>
    <w:rsid w:val="002617E6"/>
    <w:rsid w:val="002665DC"/>
    <w:rsid w:val="002B033F"/>
    <w:rsid w:val="002D5700"/>
    <w:rsid w:val="002E4602"/>
    <w:rsid w:val="003029C4"/>
    <w:rsid w:val="00307A5B"/>
    <w:rsid w:val="0032356B"/>
    <w:rsid w:val="003A6C76"/>
    <w:rsid w:val="003B7AD8"/>
    <w:rsid w:val="0040436F"/>
    <w:rsid w:val="00406996"/>
    <w:rsid w:val="00440B1C"/>
    <w:rsid w:val="00443F4F"/>
    <w:rsid w:val="004551C7"/>
    <w:rsid w:val="004769CE"/>
    <w:rsid w:val="0048725F"/>
    <w:rsid w:val="004B2ABF"/>
    <w:rsid w:val="004B620F"/>
    <w:rsid w:val="004D231D"/>
    <w:rsid w:val="00534351"/>
    <w:rsid w:val="005439E2"/>
    <w:rsid w:val="00592BB0"/>
    <w:rsid w:val="0059391D"/>
    <w:rsid w:val="005B17DE"/>
    <w:rsid w:val="005B3829"/>
    <w:rsid w:val="005E0D88"/>
    <w:rsid w:val="00614DDC"/>
    <w:rsid w:val="00621C63"/>
    <w:rsid w:val="0065683E"/>
    <w:rsid w:val="00657487"/>
    <w:rsid w:val="006675A9"/>
    <w:rsid w:val="0067160A"/>
    <w:rsid w:val="00674043"/>
    <w:rsid w:val="00677403"/>
    <w:rsid w:val="006847D3"/>
    <w:rsid w:val="006915D1"/>
    <w:rsid w:val="006C7471"/>
    <w:rsid w:val="006D5F38"/>
    <w:rsid w:val="006D7A52"/>
    <w:rsid w:val="007407C5"/>
    <w:rsid w:val="00787700"/>
    <w:rsid w:val="00794FD4"/>
    <w:rsid w:val="00797759"/>
    <w:rsid w:val="007A36AE"/>
    <w:rsid w:val="007A6BE9"/>
    <w:rsid w:val="00803961"/>
    <w:rsid w:val="00817580"/>
    <w:rsid w:val="00845D03"/>
    <w:rsid w:val="008B7903"/>
    <w:rsid w:val="008C613A"/>
    <w:rsid w:val="008E3C38"/>
    <w:rsid w:val="009C2016"/>
    <w:rsid w:val="009C4F2C"/>
    <w:rsid w:val="00A1017C"/>
    <w:rsid w:val="00A21778"/>
    <w:rsid w:val="00A3643C"/>
    <w:rsid w:val="00A82616"/>
    <w:rsid w:val="00AB01D4"/>
    <w:rsid w:val="00AB4378"/>
    <w:rsid w:val="00B15770"/>
    <w:rsid w:val="00B16E86"/>
    <w:rsid w:val="00B475D2"/>
    <w:rsid w:val="00B5303B"/>
    <w:rsid w:val="00B648A7"/>
    <w:rsid w:val="00BD086A"/>
    <w:rsid w:val="00BD6306"/>
    <w:rsid w:val="00C37FDD"/>
    <w:rsid w:val="00C4080D"/>
    <w:rsid w:val="00C53D42"/>
    <w:rsid w:val="00C574D7"/>
    <w:rsid w:val="00C61EAE"/>
    <w:rsid w:val="00C7588E"/>
    <w:rsid w:val="00CA4E79"/>
    <w:rsid w:val="00CD314C"/>
    <w:rsid w:val="00CE2898"/>
    <w:rsid w:val="00D177B7"/>
    <w:rsid w:val="00D260EB"/>
    <w:rsid w:val="00D51343"/>
    <w:rsid w:val="00D62445"/>
    <w:rsid w:val="00D719A8"/>
    <w:rsid w:val="00D930A0"/>
    <w:rsid w:val="00DE12FC"/>
    <w:rsid w:val="00DF7577"/>
    <w:rsid w:val="00E260D5"/>
    <w:rsid w:val="00E36F6F"/>
    <w:rsid w:val="00E41B6F"/>
    <w:rsid w:val="00E46726"/>
    <w:rsid w:val="00E64D62"/>
    <w:rsid w:val="00E90AAF"/>
    <w:rsid w:val="00EC7A86"/>
    <w:rsid w:val="00EF040B"/>
    <w:rsid w:val="00EF7556"/>
    <w:rsid w:val="00F068EF"/>
    <w:rsid w:val="00FB2E55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D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306"/>
  </w:style>
  <w:style w:type="paragraph" w:styleId="Zpat">
    <w:name w:val="footer"/>
    <w:basedOn w:val="Normln"/>
    <w:link w:val="ZpatChar"/>
    <w:uiPriority w:val="99"/>
    <w:unhideWhenUsed/>
    <w:rsid w:val="00BD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Bohatová Helena (MČ Brno-Černovice)</cp:lastModifiedBy>
  <cp:revision>6</cp:revision>
  <cp:lastPrinted>2021-10-20T10:15:00Z</cp:lastPrinted>
  <dcterms:created xsi:type="dcterms:W3CDTF">2023-07-20T11:23:00Z</dcterms:created>
  <dcterms:modified xsi:type="dcterms:W3CDTF">2023-08-10T06:34:00Z</dcterms:modified>
</cp:coreProperties>
</file>